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6683" w14:textId="77777777" w:rsidR="009A26C5" w:rsidRDefault="009A26C5" w:rsidP="009A26C5"/>
    <w:p w14:paraId="6AAF91D2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082EBACE" w14:textId="77777777" w:rsidTr="00AF7D1C">
        <w:trPr>
          <w:jc w:val="center"/>
        </w:trPr>
        <w:tc>
          <w:tcPr>
            <w:tcW w:w="9099" w:type="dxa"/>
          </w:tcPr>
          <w:p w14:paraId="6C7A0439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7179E882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2000DDDE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16A5BF4" wp14:editId="08567703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5C4C5B7F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785F0CC5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6CD9C8AC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9F45BA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2E6D0889" w14:textId="0C36046B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 w:rsidR="00CC08FD">
              <w:rPr>
                <w:rFonts w:asciiTheme="majorBidi" w:hAnsiTheme="majorBidi" w:cstheme="majorBidi"/>
              </w:rPr>
              <w:t xml:space="preserve">Chemicals/Glassware &amp; 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832F9">
              <w:rPr>
                <w:rFonts w:asciiTheme="majorBidi" w:hAnsiTheme="majorBidi" w:cstheme="majorBidi"/>
              </w:rPr>
              <w:t xml:space="preserve">under HEC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CC08FD">
              <w:rPr>
                <w:rFonts w:asciiTheme="majorBidi" w:hAnsiTheme="majorBidi" w:cstheme="majorBidi"/>
              </w:rPr>
              <w:t xml:space="preserve">Horticulture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2002"/>
              <w:gridCol w:w="705"/>
              <w:gridCol w:w="1431"/>
              <w:gridCol w:w="1187"/>
              <w:gridCol w:w="1177"/>
              <w:gridCol w:w="1536"/>
            </w:tblGrid>
            <w:tr w:rsidR="00AB2CBC" w:rsidRPr="00390F24" w14:paraId="21189295" w14:textId="77777777" w:rsidTr="00AF7D1C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27ED34C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14:paraId="520E9B4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14:paraId="156886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14:paraId="6606734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20814A7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1B13027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43514D8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340EC7E6" w14:textId="77777777" w:rsidTr="00AF7D1C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46BC23BD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14:paraId="3AB3D9AF" w14:textId="087ADCB9" w:rsidR="00AB2CBC" w:rsidRPr="00390F24" w:rsidRDefault="00CC08FD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Chemical/Glassware &amp; </w:t>
                  </w:r>
                  <w:r w:rsidR="004058E8"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705" w:type="dxa"/>
                  <w:vAlign w:val="center"/>
                </w:tcPr>
                <w:p w14:paraId="20B2E81E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14:paraId="0A7F7CB3" w14:textId="737E4FB3" w:rsidR="00AB2CBC" w:rsidRPr="00390F24" w:rsidRDefault="00AB2CBC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CC08FD">
                    <w:rPr>
                      <w:rFonts w:asciiTheme="majorBidi" w:hAnsiTheme="majorBidi" w:cstheme="majorBidi"/>
                    </w:rPr>
                    <w:t>2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CC08FD">
                    <w:rPr>
                      <w:rFonts w:asciiTheme="majorBidi" w:hAnsiTheme="majorBidi" w:cstheme="majorBidi"/>
                    </w:rPr>
                    <w:t>73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57DFA28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14:paraId="396B54D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65A355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14:paraId="461DEB83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04E0D9FC" w14:textId="4B2A514B" w:rsidR="00AB2CBC" w:rsidRDefault="00CC08FD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4117406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36178E88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40C3D84A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 xml:space="preserve">Terms &amp; </w:t>
            </w:r>
            <w:proofErr w:type="gramStart"/>
            <w:r w:rsidRPr="00390F24">
              <w:rPr>
                <w:rFonts w:asciiTheme="majorBidi" w:hAnsiTheme="majorBidi" w:cstheme="majorBidi"/>
                <w:b/>
                <w:u w:val="single"/>
              </w:rPr>
              <w:t>Conditions:-</w:t>
            </w:r>
            <w:proofErr w:type="gramEnd"/>
          </w:p>
          <w:p w14:paraId="344D6367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17EB3C10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366BFCE4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14:paraId="67D190D1" w14:textId="72673575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131431">
              <w:rPr>
                <w:rFonts w:asciiTheme="majorBidi" w:hAnsiTheme="majorBidi" w:cstheme="majorBidi"/>
                <w:b/>
                <w:szCs w:val="32"/>
              </w:rPr>
              <w:t>21</w:t>
            </w:r>
            <w:bookmarkStart w:id="0" w:name="_GoBack"/>
            <w:bookmarkEnd w:id="0"/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CC08FD">
              <w:rPr>
                <w:rFonts w:asciiTheme="majorBidi" w:hAnsiTheme="majorBidi" w:cstheme="majorBidi"/>
                <w:b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C08FD">
              <w:rPr>
                <w:rFonts w:asciiTheme="majorBidi" w:hAnsiTheme="majorBidi" w:cstheme="majorBidi"/>
                <w:b/>
                <w:szCs w:val="32"/>
              </w:rPr>
              <w:t>9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7B75DD"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14:paraId="6DAD8188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344F35EB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5DD4476B" w14:textId="36E7ACAA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CC08FD">
              <w:rPr>
                <w:rFonts w:asciiTheme="majorBidi" w:hAnsiTheme="majorBidi" w:cstheme="majorBidi"/>
                <w:b/>
                <w:sz w:val="32"/>
                <w:szCs w:val="32"/>
              </w:rPr>
              <w:t>Farhat Abbas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33C4C5EA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14:paraId="1EE96705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7B21E974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5F0601A6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047A168C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5ABFB926" w14:textId="27BC9592" w:rsidR="00AB2CBC" w:rsidRPr="00CC08FD" w:rsidRDefault="00272D2D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  <w:proofErr w:type="gramEnd"/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4058E8" w:rsidRP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</w:t>
            </w:r>
            <w:r w:rsid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334</w:t>
            </w:r>
            <w:r w:rsidR="004058E8" w:rsidRP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-</w:t>
            </w:r>
            <w:r w:rsid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1529696</w:t>
            </w:r>
            <w:r w:rsidR="00CC08FD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03C115B4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7649D"/>
    <w:rsid w:val="000A54A0"/>
    <w:rsid w:val="000E2C41"/>
    <w:rsid w:val="0013143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4058E8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60869"/>
    <w:rsid w:val="009A26C5"/>
    <w:rsid w:val="009B7962"/>
    <w:rsid w:val="009C73BE"/>
    <w:rsid w:val="00A40F90"/>
    <w:rsid w:val="00A71C3C"/>
    <w:rsid w:val="00AB2CBC"/>
    <w:rsid w:val="00AE5C4F"/>
    <w:rsid w:val="00B332F6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C08FD"/>
    <w:rsid w:val="00CD339A"/>
    <w:rsid w:val="00D41BB0"/>
    <w:rsid w:val="00D74CE5"/>
    <w:rsid w:val="00E73F29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170F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34</cp:revision>
  <cp:lastPrinted>2017-12-15T06:05:00Z</cp:lastPrinted>
  <dcterms:created xsi:type="dcterms:W3CDTF">2016-02-18T17:21:00Z</dcterms:created>
  <dcterms:modified xsi:type="dcterms:W3CDTF">2019-02-01T07:00:00Z</dcterms:modified>
</cp:coreProperties>
</file>